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3EE" w:rsidRPr="00B74558" w:rsidRDefault="00C803EE" w:rsidP="00C803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</w:p>
    <w:p w:rsidR="00B74558" w:rsidRPr="006E4801" w:rsidRDefault="00B74558" w:rsidP="00B74558">
      <w:pPr>
        <w:pStyle w:val="Odlomakpopis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E4801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Radionica </w:t>
      </w:r>
      <w:r w:rsidRPr="006E4801">
        <w:rPr>
          <w:rFonts w:ascii="Times New Roman" w:hAnsi="Times New Roman" w:cs="Times New Roman"/>
          <w:b/>
          <w:color w:val="002060"/>
          <w:sz w:val="28"/>
          <w:szCs w:val="28"/>
        </w:rPr>
        <w:t>„</w:t>
      </w:r>
      <w:r w:rsidRPr="006E4801">
        <w:rPr>
          <w:rFonts w:ascii="Times New Roman" w:hAnsi="Times New Roman" w:cs="Times New Roman"/>
          <w:b/>
          <w:noProof/>
          <w:color w:val="002060"/>
          <w:sz w:val="28"/>
          <w:szCs w:val="28"/>
          <w:lang w:val="en-US"/>
        </w:rPr>
        <w:t>Crowdfunding</w:t>
      </w:r>
      <w:r w:rsidRPr="006E4801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 xml:space="preserve"> – mogućnosti za inovativne projekte</w:t>
      </w:r>
      <w:r w:rsidRPr="006E4801">
        <w:rPr>
          <w:rFonts w:ascii="Times New Roman" w:hAnsi="Times New Roman" w:cs="Times New Roman"/>
          <w:b/>
          <w:color w:val="002060"/>
          <w:sz w:val="28"/>
          <w:szCs w:val="28"/>
        </w:rPr>
        <w:t>“</w:t>
      </w:r>
    </w:p>
    <w:p w:rsidR="00C803EE" w:rsidRPr="00B74558" w:rsidRDefault="00C803EE" w:rsidP="00B74558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</w:p>
    <w:p w:rsidR="00B74558" w:rsidRP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hr-HR"/>
        </w:rPr>
      </w:pPr>
      <w:r w:rsidRPr="00B74558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hr-HR"/>
        </w:rPr>
        <w:t>1. dan</w:t>
      </w:r>
    </w:p>
    <w:p w:rsidR="00B74558" w:rsidRP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705"/>
        <w:gridCol w:w="7355"/>
      </w:tblGrid>
      <w:tr w:rsidR="00B74558" w:rsidRPr="00B74558" w:rsidTr="00B74558">
        <w:trPr>
          <w:trHeight w:val="315"/>
        </w:trPr>
        <w:tc>
          <w:tcPr>
            <w:tcW w:w="1705" w:type="dxa"/>
            <w:shd w:val="clear" w:color="auto" w:fill="8496B0" w:themeFill="text2" w:themeFillTint="99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  <w:u w:val="single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  <w:u w:val="single"/>
              </w:rPr>
              <w:t>Vrijeme</w:t>
            </w:r>
          </w:p>
        </w:tc>
        <w:tc>
          <w:tcPr>
            <w:tcW w:w="7355" w:type="dxa"/>
            <w:shd w:val="clear" w:color="auto" w:fill="8496B0" w:themeFill="text2" w:themeFillTint="99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  <w:u w:val="single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  <w:u w:val="single"/>
              </w:rPr>
              <w:t>Tema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09:30 - 10:00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Registracija i upoznavanje polaznika i predavača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10:00 - 10:30</w:t>
            </w:r>
          </w:p>
        </w:tc>
        <w:tc>
          <w:tcPr>
            <w:tcW w:w="7355" w:type="dxa"/>
            <w:noWrap/>
            <w:hideMark/>
          </w:tcPr>
          <w:p w:rsidR="000517C5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Uvod</w:t>
            </w:r>
          </w:p>
          <w:p w:rsidR="00B74558" w:rsidRPr="000517C5" w:rsidRDefault="00B74558" w:rsidP="000517C5">
            <w:pPr>
              <w:pStyle w:val="Odlomakpopisa"/>
              <w:numPr>
                <w:ilvl w:val="0"/>
                <w:numId w:val="7"/>
              </w:numPr>
              <w:autoSpaceDE w:val="0"/>
              <w:autoSpaceDN w:val="0"/>
              <w:ind w:left="167" w:hanging="167"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0517C5">
              <w:rPr>
                <w:rFonts w:ascii="Times New Roman" w:hAnsi="Times New Roman"/>
                <w:color w:val="002060"/>
                <w:sz w:val="20"/>
                <w:szCs w:val="20"/>
              </w:rPr>
              <w:t>Predstavljanje koncepta informativnog eventa, predavača i polaznika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10:30 - 12:00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Mogućnosti financiranja za inovativne projekte – I dio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Predstavljanje trenutnih mogućnosti financiranja projekata iz sektora pomorske industrije: nacionalni izvori, ESI i EFSI fondovi, EU programi (Obzor 2020, LIFE,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inter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-regionalni, transnacionalni i programi prekogranične suradnje)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Rasprava o iskus</w:t>
            </w:r>
            <w:bookmarkStart w:id="0" w:name="_GoBack"/>
            <w:bookmarkEnd w:id="0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tvima polaznika s korištenjem nacionalnih i EU potpornih modela financiranja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12:00 - 12:15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Pauza za kavu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12:15 - 13:30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Mogućnosti financiranja za inovativne projekte – II dio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Predstavljanje inovativnih modela financiranja - fondova rizičnog kapitala, ESCO – EPC i ESC modela, javno-privatnog partnerstva i grupnog financiranja (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crowdfundinga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)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Uvod u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crowdfunding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– temeljni principi, pregled stanja na tržištu (povijesni razvoj, statistika), dostupni modeli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crowdfundinga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, prednosti/nedostaci modela, zakonsko (pravno) uređenje u Hrvatskoj, tržišne barijere te prilike za primjenu u pomorskom sektoru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Rasprava o iskustvima polaznika s korištenjem inovativnih modela financiranja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13:30 - 14:30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R</w:t>
            </w: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učak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14:30 - 16:30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Osnove </w:t>
            </w:r>
            <w:proofErr w:type="spellStart"/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crowdfundinga</w:t>
            </w:r>
            <w:proofErr w:type="spellEnd"/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 - I dio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Pregled domaćih i međunarodnih platformi te njihovih uvjeta za financiranje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Predavanje na temu pripreme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crowdfunding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projekta – uz primjere relevantnih/uspješnih projekata i njihovo predstavljanje od strane samih pokretača kampanja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16:30 - 16:45</w:t>
            </w:r>
          </w:p>
        </w:tc>
        <w:tc>
          <w:tcPr>
            <w:tcW w:w="7355" w:type="dxa"/>
            <w:noWrap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Pauza za kavu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16:45 - 18:00</w:t>
            </w:r>
          </w:p>
        </w:tc>
        <w:tc>
          <w:tcPr>
            <w:tcW w:w="7355" w:type="dxa"/>
            <w:noWrap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Osnove </w:t>
            </w:r>
            <w:proofErr w:type="spellStart"/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crowdfundinga</w:t>
            </w:r>
            <w:proofErr w:type="spellEnd"/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 – II dio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Kako pripremiti uspješnu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crowdfunding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kampanju – najčešće greške, savjeti i iskustva s gledišta operatora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crowdfunding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platformi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Zadatak za polaznike: izrada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canvas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modela za vlastiti projekt</w:t>
            </w:r>
          </w:p>
        </w:tc>
      </w:tr>
    </w:tbl>
    <w:p w:rsidR="00B74558" w:rsidRP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P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P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P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hr-HR"/>
        </w:rPr>
      </w:pPr>
      <w:r w:rsidRPr="006E480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hr-HR"/>
        </w:rPr>
        <w:t>2.</w:t>
      </w:r>
      <w:r w:rsidRPr="00B74558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hr-HR"/>
        </w:rPr>
        <w:t xml:space="preserve"> dan</w:t>
      </w:r>
    </w:p>
    <w:p w:rsidR="00B74558" w:rsidRP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705"/>
        <w:gridCol w:w="7355"/>
      </w:tblGrid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10:00 - 10:30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Rekapitulacija prethodnog dana i uvod u interaktivnu radionicu temeljem dobivenog </w:t>
            </w:r>
            <w:proofErr w:type="spellStart"/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canvas</w:t>
            </w:r>
            <w:proofErr w:type="spellEnd"/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 modela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11:00 - 12:00</w:t>
            </w:r>
          </w:p>
        </w:tc>
        <w:tc>
          <w:tcPr>
            <w:tcW w:w="7355" w:type="dxa"/>
            <w:noWrap/>
            <w:hideMark/>
          </w:tcPr>
          <w:p w:rsid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Identifikacija i razrada potencijalnih projekata polaznika – I dio</w:t>
            </w:r>
          </w:p>
          <w:p w:rsidR="00B74558" w:rsidRPr="00B74558" w:rsidRDefault="00B74558" w:rsidP="00B74558">
            <w:pPr>
              <w:pStyle w:val="Odlomakpopisa"/>
              <w:numPr>
                <w:ilvl w:val="0"/>
                <w:numId w:val="2"/>
              </w:numPr>
              <w:autoSpaceDE w:val="0"/>
              <w:autoSpaceDN w:val="0"/>
              <w:ind w:left="167" w:hanging="142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Rad u grupama - razrada projekata polaznika (poslovno planiranje) putem dobivenog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canvas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poslovnog modela, identifikacija optimalnog načina financiranja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12:00 - 12:15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Pauza za kavu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12:15 - 14:00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Identifikacija i razrada potencijalnih projekata polaznika – II dio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Rad u grupama uz konstantnu mentorsku pomoć predavača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14:00 - 15:00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Ručak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15:00 - 17:00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Predstavljanje projekata polaznika 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Predstavljanje projekata na temelju izrađenog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canvas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modela projekta i kritičko ocjenjivanje od strane polaznika i predavača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17:00 - 17:15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Pauza za kavu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17:00 - 18:00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Rasprava, zaključci i završni savjeti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Završno savjetovanje polaznika te prezentacija preporuka za financiranje pojedinih projekata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Rasprava uz formiranje zajedničkih preporuka za unapređenje javnih potpornih mehanizama i politika za projekte iz sektora pomorstva </w:t>
            </w:r>
          </w:p>
        </w:tc>
      </w:tr>
    </w:tbl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P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Pr="006E4801" w:rsidRDefault="00B74558" w:rsidP="00B74558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E48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Radionica </w:t>
      </w:r>
      <w:r w:rsidRPr="006E4801">
        <w:rPr>
          <w:rFonts w:ascii="Times New Roman" w:hAnsi="Times New Roman" w:cs="Times New Roman"/>
          <w:b/>
          <w:color w:val="002060"/>
          <w:sz w:val="28"/>
          <w:szCs w:val="28"/>
        </w:rPr>
        <w:t>„</w:t>
      </w:r>
      <w:r w:rsidRPr="006E4801">
        <w:rPr>
          <w:rFonts w:ascii="Times New Roman" w:hAnsi="Times New Roman" w:cs="Times New Roman"/>
          <w:b/>
          <w:noProof/>
          <w:color w:val="002060"/>
          <w:sz w:val="28"/>
          <w:szCs w:val="28"/>
          <w:lang w:val="en-US"/>
        </w:rPr>
        <w:t>Crowdfunding</w:t>
      </w:r>
      <w:r w:rsidRPr="006E4801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 xml:space="preserve"> – mogućnosti za inovativne projekte</w:t>
      </w:r>
      <w:r w:rsidRPr="006E4801">
        <w:rPr>
          <w:rFonts w:ascii="Times New Roman" w:hAnsi="Times New Roman" w:cs="Times New Roman"/>
          <w:b/>
          <w:color w:val="002060"/>
          <w:sz w:val="28"/>
          <w:szCs w:val="28"/>
        </w:rPr>
        <w:t>“</w:t>
      </w:r>
    </w:p>
    <w:p w:rsid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B74558" w:rsidRPr="006E4801" w:rsidRDefault="00B74558" w:rsidP="00B74558">
      <w:pPr>
        <w:pStyle w:val="Odlomakpopis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E4801">
        <w:rPr>
          <w:rFonts w:ascii="Times New Roman" w:hAnsi="Times New Roman" w:cs="Times New Roman"/>
          <w:b/>
          <w:color w:val="002060"/>
          <w:sz w:val="28"/>
          <w:szCs w:val="28"/>
        </w:rPr>
        <w:t>dan</w:t>
      </w:r>
    </w:p>
    <w:p w:rsidR="00B74558" w:rsidRP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705"/>
        <w:gridCol w:w="7355"/>
      </w:tblGrid>
      <w:tr w:rsidR="00B74558" w:rsidRPr="00B74558" w:rsidTr="00B74558">
        <w:trPr>
          <w:trHeight w:val="315"/>
        </w:trPr>
        <w:tc>
          <w:tcPr>
            <w:tcW w:w="1705" w:type="dxa"/>
            <w:shd w:val="clear" w:color="auto" w:fill="8496B0" w:themeFill="text2" w:themeFillTint="99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  <w:u w:val="single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  <w:u w:val="single"/>
              </w:rPr>
              <w:t>Vrijeme</w:t>
            </w:r>
          </w:p>
        </w:tc>
        <w:tc>
          <w:tcPr>
            <w:tcW w:w="7355" w:type="dxa"/>
            <w:shd w:val="clear" w:color="auto" w:fill="8496B0" w:themeFill="text2" w:themeFillTint="99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  <w:u w:val="single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  <w:u w:val="single"/>
              </w:rPr>
              <w:t>Tema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09:30 - 10:00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Registracija i upoznavanje polaznika i predavača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10:00 - 10:30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Uvod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Predstavljanje koncepta informativnog eventa, predavača i polaznika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10:30 - 12:00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Mogućnosti financiranja za inovativne projekte – I dio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Predstavljanje trenutnih mogućnosti financiranja projekata iz sektora pomorske industrije: nacionalne izvori, ESI i EFSI fondovi, EU programi (Obzor 2020, LIFE,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inter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-regionalni, transnacionalni i programi prekogranične suradnje)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Rasprava o iskustvima polaznika s korištenjem nacionalnih i EU potpornih modela financiranja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12:00 - 12:15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Pauza za kavu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12:15 - 13:30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Mogućnosti financiranja za inovativne projekte – II dio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Predstavljanje inovativnih modela financiranja - fondova rizičnog kapitala, ESCO – EPC i ESC modela, javno-privatnog partnerstva i grupnog financiranja (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crowdfundinga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)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Uvod u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crowdfunding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– temeljni principi, pregled stanja na tržištu (povijesni razvoj, statistika), dostupni modeli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crowdfundinga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, prednosti/nedostaci modela, zakonsko (pravno) uređenje u Hrvatskoj, tržišne barijere te prilike za primjenu u pomorskom sektoru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Rasprava o iskustvima polaznika s korištenjem inovativnih modela financiranja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13:30 - 14:30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Ručak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14:30 - 16:30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Osnove </w:t>
            </w:r>
            <w:proofErr w:type="spellStart"/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crowdfundinga</w:t>
            </w:r>
            <w:proofErr w:type="spellEnd"/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 - I dio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Pregled domaćih i međunarodnih platformi te njihovih uvjeta za financiranje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Predavanje na temu pripreme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crowdfunding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projekta – uz primjere relevantnih/uspješnih projekata i njihovo predstavljanje od strane samih pokretača kampanja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16:30 - 16:45</w:t>
            </w:r>
          </w:p>
        </w:tc>
        <w:tc>
          <w:tcPr>
            <w:tcW w:w="7355" w:type="dxa"/>
            <w:noWrap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Pauza za kavu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16:45 - 18:00</w:t>
            </w:r>
          </w:p>
        </w:tc>
        <w:tc>
          <w:tcPr>
            <w:tcW w:w="7355" w:type="dxa"/>
            <w:noWrap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Osnove </w:t>
            </w:r>
            <w:proofErr w:type="spellStart"/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crowdfundinga</w:t>
            </w:r>
            <w:proofErr w:type="spellEnd"/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 – II dio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Kako pripremiti uspješnu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crowdfunding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kampanju – najčešće greške, savjeti i iskustva s gledišta operatora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crowdfunding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platformi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Zadatak za polaznike: izrada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canvas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modela za vlastiti projekt</w:t>
            </w:r>
          </w:p>
        </w:tc>
      </w:tr>
    </w:tbl>
    <w:p w:rsidR="006E4801" w:rsidRDefault="006E4801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6E4801" w:rsidRPr="00B74558" w:rsidRDefault="006E4801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P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hr-HR"/>
        </w:rPr>
      </w:pPr>
      <w:r w:rsidRPr="006E480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hr-HR"/>
        </w:rPr>
        <w:t>2. dan</w:t>
      </w:r>
    </w:p>
    <w:p w:rsidR="00B74558" w:rsidRP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705"/>
        <w:gridCol w:w="7355"/>
      </w:tblGrid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10:00 - 10:30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Rekapitulacija prethodnog dana i uvod u interaktivnu radionicu temeljem dobivenog </w:t>
            </w:r>
            <w:proofErr w:type="spellStart"/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canvas</w:t>
            </w:r>
            <w:proofErr w:type="spellEnd"/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 modela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11:00 - 12:00</w:t>
            </w:r>
          </w:p>
        </w:tc>
        <w:tc>
          <w:tcPr>
            <w:tcW w:w="7355" w:type="dxa"/>
            <w:noWrap/>
            <w:hideMark/>
          </w:tcPr>
          <w:p w:rsid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Identifikacija i razrada potencijalnih projekata polaznika – I dio</w:t>
            </w:r>
          </w:p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- </w:t>
            </w: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Rad u grupama - razrada projekata polaznika (poslovno planiranje) putem dobivenog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canvas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poslovnog modela, identifikacija optimalnog načina financiranja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12:00 - 12:15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Pauza za kavu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12:15 - 14:00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Identifikacija i razrada potencijalnih projekata polaznika – II dio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Rad u grupama uz konstantnu mentorsku pomoć predavača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14:00 - 15:00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Ručak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15:00 - 17:00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Predstavljanje projekata polaznika 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Predstavljanje projekata na temelju izrađenog </w:t>
            </w:r>
            <w:proofErr w:type="spellStart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canvas</w:t>
            </w:r>
            <w:proofErr w:type="spellEnd"/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modela projekta i kritičko ocjenjivanje od strane polaznika i predavača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17:00 - 17:15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Pauza za kavu</w:t>
            </w:r>
          </w:p>
        </w:tc>
      </w:tr>
      <w:tr w:rsidR="00B74558" w:rsidRPr="00B74558" w:rsidTr="00C657DC">
        <w:trPr>
          <w:trHeight w:val="315"/>
        </w:trPr>
        <w:tc>
          <w:tcPr>
            <w:tcW w:w="170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17:00 - 18:00</w:t>
            </w:r>
          </w:p>
        </w:tc>
        <w:tc>
          <w:tcPr>
            <w:tcW w:w="7355" w:type="dxa"/>
            <w:noWrap/>
            <w:hideMark/>
          </w:tcPr>
          <w:p w:rsidR="00B74558" w:rsidRPr="00B74558" w:rsidRDefault="00B74558" w:rsidP="00B74558">
            <w:pPr>
              <w:autoSpaceDE w:val="0"/>
              <w:autoSpaceDN w:val="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Rasprava, zaključci i završni savjeti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>Završno savjetovanje polaznika te prezentacija preporuka za financiranje pojedinih projekata</w:t>
            </w:r>
          </w:p>
          <w:p w:rsidR="00B74558" w:rsidRPr="00B74558" w:rsidRDefault="00B74558" w:rsidP="00B74558">
            <w:pPr>
              <w:numPr>
                <w:ilvl w:val="0"/>
                <w:numId w:val="2"/>
              </w:numPr>
              <w:autoSpaceDE w:val="0"/>
              <w:autoSpaceDN w:val="0"/>
              <w:ind w:left="159" w:hanging="180"/>
              <w:contextualSpacing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B74558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Rasprava uz formiranje zajedničkih preporuka za unapređenje javnih potpornih mehanizama i politika za projekte iz sektora pomorstva </w:t>
            </w:r>
          </w:p>
        </w:tc>
      </w:tr>
    </w:tbl>
    <w:p w:rsidR="00B74558" w:rsidRPr="00B74558" w:rsidRDefault="00B74558" w:rsidP="00B7455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hr-HR"/>
        </w:rPr>
      </w:pPr>
    </w:p>
    <w:p w:rsidR="00B74558" w:rsidRPr="00B74558" w:rsidRDefault="00B74558" w:rsidP="00B74558">
      <w:pPr>
        <w:rPr>
          <w:rFonts w:ascii="Times New Roman" w:eastAsiaTheme="minorEastAsia" w:hAnsi="Times New Roman" w:cs="Times New Roman"/>
          <w:color w:val="002060"/>
          <w:sz w:val="20"/>
          <w:szCs w:val="20"/>
          <w:lang w:eastAsia="hr-HR"/>
        </w:rPr>
      </w:pPr>
    </w:p>
    <w:p w:rsidR="00F82E64" w:rsidRPr="00B74558" w:rsidRDefault="00F82E64">
      <w:pPr>
        <w:rPr>
          <w:rFonts w:ascii="Times New Roman" w:hAnsi="Times New Roman" w:cs="Times New Roman"/>
          <w:color w:val="002060"/>
          <w:sz w:val="20"/>
          <w:szCs w:val="20"/>
        </w:rPr>
      </w:pPr>
    </w:p>
    <w:sectPr w:rsidR="00F82E64" w:rsidRPr="00B7455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AF2" w:rsidRDefault="00802AF2" w:rsidP="00C803EE">
      <w:pPr>
        <w:spacing w:after="0" w:line="240" w:lineRule="auto"/>
      </w:pPr>
      <w:r>
        <w:separator/>
      </w:r>
    </w:p>
  </w:endnote>
  <w:endnote w:type="continuationSeparator" w:id="0">
    <w:p w:rsidR="00802AF2" w:rsidRDefault="00802AF2" w:rsidP="00C8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Italic">
    <w:altName w:val="Calibri"/>
    <w:panose1 w:val="00000400000000000000"/>
    <w:charset w:val="EE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AF2" w:rsidRDefault="00802AF2" w:rsidP="00C803EE">
      <w:pPr>
        <w:spacing w:after="0" w:line="240" w:lineRule="auto"/>
      </w:pPr>
      <w:r>
        <w:separator/>
      </w:r>
    </w:p>
  </w:footnote>
  <w:footnote w:type="continuationSeparator" w:id="0">
    <w:p w:rsidR="00802AF2" w:rsidRDefault="00802AF2" w:rsidP="00C80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3EE" w:rsidRDefault="00C803EE">
    <w:pPr>
      <w:pStyle w:val="Zaglavlje"/>
    </w:pPr>
    <w:r w:rsidRPr="00A62BD1">
      <w:rPr>
        <w:rFonts w:ascii="Cambria" w:hAnsi="Cambria"/>
        <w:b/>
        <w:noProof/>
        <w:sz w:val="32"/>
        <w:szCs w:val="32"/>
        <w:lang w:eastAsia="hr-HR"/>
      </w:rPr>
      <w:drawing>
        <wp:anchor distT="0" distB="0" distL="114300" distR="114300" simplePos="0" relativeHeight="251659264" behindDoc="0" locked="0" layoutInCell="1" allowOverlap="1" wp14:anchorId="0C771C3C" wp14:editId="5082DC39">
          <wp:simplePos x="0" y="0"/>
          <wp:positionH relativeFrom="margin">
            <wp:posOffset>-47128</wp:posOffset>
          </wp:positionH>
          <wp:positionV relativeFrom="margin">
            <wp:posOffset>-2333515</wp:posOffset>
          </wp:positionV>
          <wp:extent cx="1386840" cy="990600"/>
          <wp:effectExtent l="0" t="0" r="381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pmr_h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:rsidR="00C803EE" w:rsidRDefault="00C803EE">
    <w:pPr>
      <w:pStyle w:val="Zaglavlje"/>
    </w:pPr>
    <w:r>
      <w:rPr>
        <w:noProof/>
        <w:lang w:eastAsia="hr-HR"/>
      </w:rPr>
      <w:drawing>
        <wp:anchor distT="0" distB="0" distL="0" distR="0" simplePos="0" relativeHeight="251665408" behindDoc="1" locked="0" layoutInCell="1" allowOverlap="1" wp14:anchorId="548C7C48" wp14:editId="2C88C726">
          <wp:simplePos x="0" y="0"/>
          <wp:positionH relativeFrom="margin">
            <wp:posOffset>4677824</wp:posOffset>
          </wp:positionH>
          <wp:positionV relativeFrom="paragraph">
            <wp:posOffset>9608</wp:posOffset>
          </wp:positionV>
          <wp:extent cx="1230630" cy="316230"/>
          <wp:effectExtent l="0" t="0" r="7620" b="762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630" cy="3162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03EE" w:rsidRDefault="00C803EE">
    <w:pPr>
      <w:pStyle w:val="Zaglavlje"/>
    </w:pPr>
  </w:p>
  <w:p w:rsidR="00C803EE" w:rsidRDefault="00C803EE">
    <w:pPr>
      <w:pStyle w:val="Zaglavlje"/>
    </w:pPr>
  </w:p>
  <w:p w:rsidR="00C803EE" w:rsidRDefault="00C803EE">
    <w:pPr>
      <w:pStyle w:val="Zaglavlje"/>
    </w:pPr>
  </w:p>
  <w:p w:rsidR="00C803EE" w:rsidRDefault="00C803EE">
    <w:pPr>
      <w:pStyle w:val="Zaglavlje"/>
    </w:pPr>
    <w:r>
      <w:tab/>
    </w:r>
    <w:r>
      <w:tab/>
    </w:r>
  </w:p>
  <w:p w:rsidR="00C803EE" w:rsidRDefault="00C803EE">
    <w:pPr>
      <w:pStyle w:val="Zaglavlje"/>
    </w:pPr>
    <w:r>
      <w:rPr>
        <w:noProof/>
        <w:lang w:eastAsia="hr-HR"/>
      </w:rPr>
      <w:drawing>
        <wp:inline distT="0" distB="0" distL="0" distR="0" wp14:anchorId="4C1F22D9" wp14:editId="6188AD5B">
          <wp:extent cx="1349758" cy="447675"/>
          <wp:effectExtent l="0" t="0" r="3175" b="0"/>
          <wp:docPr id="3" name="Slika 3" descr="Centar za druÅ¡tvene inovacije i odrÅ¾ivi razvoj - VaÅ¡ partner u stvaranju bolje zajedn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ntar za druÅ¡tvene inovacije i odrÅ¾ivi razvoj - VaÅ¡ partner u stvaranju bolje zajedni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801" cy="457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hr-HR"/>
      </w:rPr>
      <w:drawing>
        <wp:inline distT="0" distB="0" distL="0" distR="0" wp14:anchorId="10DDA228" wp14:editId="21A29F6A">
          <wp:extent cx="885825" cy="362293"/>
          <wp:effectExtent l="0" t="0" r="0" b="0"/>
          <wp:docPr id="2" name="Slika 2" descr="https://www.fesb.unist.hr/Assets/Images/Shared/fesb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fesb.unist.hr/Assets/Images/Shared/fesb-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030" cy="378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803EE" w:rsidRDefault="00C803EE">
    <w:pPr>
      <w:pStyle w:val="Zaglavlje"/>
    </w:pPr>
    <w:r>
      <w:rPr>
        <w:noProof/>
        <w:lang w:eastAsia="hr-HR"/>
      </w:rPr>
      <w:drawing>
        <wp:anchor distT="0" distB="0" distL="0" distR="0" simplePos="0" relativeHeight="251661312" behindDoc="0" locked="0" layoutInCell="1" allowOverlap="1" wp14:anchorId="4170EA0B" wp14:editId="23CF8E5A">
          <wp:simplePos x="0" y="0"/>
          <wp:positionH relativeFrom="margin">
            <wp:posOffset>1583690</wp:posOffset>
          </wp:positionH>
          <wp:positionV relativeFrom="paragraph">
            <wp:posOffset>78105</wp:posOffset>
          </wp:positionV>
          <wp:extent cx="1089025" cy="429260"/>
          <wp:effectExtent l="0" t="0" r="0" b="8890"/>
          <wp:wrapSquare wrapText="largest"/>
          <wp:docPr id="5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89025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803EE" w:rsidRDefault="00C803EE">
    <w:pPr>
      <w:pStyle w:val="Zaglavlje"/>
    </w:pPr>
    <w:r>
      <w:rPr>
        <w:noProof/>
        <w:lang w:eastAsia="hr-HR"/>
      </w:rPr>
      <w:drawing>
        <wp:anchor distT="0" distB="0" distL="0" distR="0" simplePos="0" relativeHeight="251663360" behindDoc="0" locked="0" layoutInCell="1" allowOverlap="1" wp14:anchorId="035ACC8E" wp14:editId="4D661BDB">
          <wp:simplePos x="0" y="0"/>
          <wp:positionH relativeFrom="column">
            <wp:posOffset>3118154</wp:posOffset>
          </wp:positionH>
          <wp:positionV relativeFrom="paragraph">
            <wp:posOffset>4445</wp:posOffset>
          </wp:positionV>
          <wp:extent cx="1012190" cy="325755"/>
          <wp:effectExtent l="0" t="0" r="0" b="0"/>
          <wp:wrapSquare wrapText="largest"/>
          <wp:docPr id="6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803EE" w:rsidRDefault="00C803EE">
    <w:pPr>
      <w:pStyle w:val="Zaglavlje"/>
    </w:pPr>
  </w:p>
  <w:p w:rsidR="00C803EE" w:rsidRDefault="00C803EE">
    <w:pPr>
      <w:pStyle w:val="Zaglavlje"/>
    </w:pPr>
  </w:p>
  <w:p w:rsidR="00C803EE" w:rsidRDefault="00C803EE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B3C22"/>
    <w:multiLevelType w:val="hybridMultilevel"/>
    <w:tmpl w:val="F168E850"/>
    <w:lvl w:ilvl="0" w:tplc="3DC4F49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2555C"/>
    <w:multiLevelType w:val="hybridMultilevel"/>
    <w:tmpl w:val="C7DCCDD6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E1CCB"/>
    <w:multiLevelType w:val="hybridMultilevel"/>
    <w:tmpl w:val="BAA03A3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53325"/>
    <w:multiLevelType w:val="hybridMultilevel"/>
    <w:tmpl w:val="5F2EF9DE"/>
    <w:lvl w:ilvl="0" w:tplc="B70CBA1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669E6"/>
    <w:multiLevelType w:val="hybridMultilevel"/>
    <w:tmpl w:val="843C900A"/>
    <w:lvl w:ilvl="0" w:tplc="8ABA92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574158"/>
    <w:multiLevelType w:val="hybridMultilevel"/>
    <w:tmpl w:val="F39C4C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975235"/>
    <w:multiLevelType w:val="hybridMultilevel"/>
    <w:tmpl w:val="6FF69ECC"/>
    <w:lvl w:ilvl="0" w:tplc="940895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3EE"/>
    <w:rsid w:val="000517C5"/>
    <w:rsid w:val="006055F2"/>
    <w:rsid w:val="006E4801"/>
    <w:rsid w:val="007A4D57"/>
    <w:rsid w:val="00802AF2"/>
    <w:rsid w:val="00B74558"/>
    <w:rsid w:val="00C803EE"/>
    <w:rsid w:val="00D615A8"/>
    <w:rsid w:val="00F8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7DF9564-74DE-498D-B0AF-D583E7A99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80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803EE"/>
  </w:style>
  <w:style w:type="paragraph" w:styleId="Podnoje">
    <w:name w:val="footer"/>
    <w:basedOn w:val="Normal"/>
    <w:link w:val="PodnojeChar"/>
    <w:uiPriority w:val="99"/>
    <w:unhideWhenUsed/>
    <w:rsid w:val="00C80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803EE"/>
  </w:style>
  <w:style w:type="character" w:styleId="Hiperveza">
    <w:name w:val="Hyperlink"/>
    <w:uiPriority w:val="99"/>
    <w:rsid w:val="00C803EE"/>
    <w:rPr>
      <w:color w:val="0000FF"/>
      <w:u w:val="single"/>
    </w:rPr>
  </w:style>
  <w:style w:type="paragraph" w:styleId="Odlomakpopisa">
    <w:name w:val="List Paragraph"/>
    <w:aliases w:val="Heading 12,heading 1,naslov 1,Naslov 12,Graf"/>
    <w:basedOn w:val="Normal"/>
    <w:link w:val="OdlomakpopisaChar"/>
    <w:uiPriority w:val="34"/>
    <w:qFormat/>
    <w:rsid w:val="00C803EE"/>
    <w:pPr>
      <w:ind w:left="720"/>
      <w:contextualSpacing/>
    </w:pPr>
    <w:rPr>
      <w:rFonts w:ascii="Italic" w:eastAsiaTheme="minorEastAsia" w:hAnsi="Italic"/>
      <w:sz w:val="24"/>
      <w:szCs w:val="16"/>
      <w:lang w:eastAsia="hr-HR"/>
    </w:rPr>
  </w:style>
  <w:style w:type="character" w:customStyle="1" w:styleId="OdlomakpopisaChar">
    <w:name w:val="Odlomak popisa Char"/>
    <w:aliases w:val="Heading 12 Char,heading 1 Char,naslov 1 Char,Naslov 12 Char,Graf Char"/>
    <w:basedOn w:val="Zadanifontodlomka"/>
    <w:link w:val="Odlomakpopisa"/>
    <w:uiPriority w:val="34"/>
    <w:locked/>
    <w:rsid w:val="00C803EE"/>
    <w:rPr>
      <w:rFonts w:ascii="Italic" w:eastAsiaTheme="minorEastAsia" w:hAnsi="Italic"/>
      <w:sz w:val="24"/>
      <w:szCs w:val="16"/>
      <w:lang w:eastAsia="hr-HR"/>
    </w:rPr>
  </w:style>
  <w:style w:type="table" w:styleId="Reetkatablice">
    <w:name w:val="Table Grid"/>
    <w:basedOn w:val="Obinatablica"/>
    <w:uiPriority w:val="39"/>
    <w:rsid w:val="00B74558"/>
    <w:pPr>
      <w:widowControl w:val="0"/>
      <w:overflowPunct w:val="0"/>
      <w:adjustRightInd w:val="0"/>
    </w:pPr>
    <w:rPr>
      <w:rFonts w:ascii="Italic" w:eastAsiaTheme="minorEastAsia" w:hAnsi="Italic" w:cs="Times New Roman"/>
      <w:sz w:val="24"/>
      <w:szCs w:val="16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63F05-56E0-40AD-82A2-02E5E7C77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Gorana Baničević</dc:creator>
  <cp:keywords/>
  <dc:description/>
  <cp:lastModifiedBy>Gorana Baničević</cp:lastModifiedBy>
  <cp:revision>6</cp:revision>
  <dcterms:created xsi:type="dcterms:W3CDTF">2019-04-16T07:23:00Z</dcterms:created>
  <dcterms:modified xsi:type="dcterms:W3CDTF">2019-04-16T07:40:00Z</dcterms:modified>
</cp:coreProperties>
</file>